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Borders>
          <w:top w:val="nil"/>
          <w:left w:val="nil"/>
          <w:bottom w:val="nil"/>
          <w:right w:val="nil"/>
          <w:insideH w:val="nil"/>
          <w:insideV w:val="nil"/>
        </w:tblBorders>
        <w:tblLook w:firstColumn="1" w:firstRow="1" w:lastColumn="0" w:lastRow="0" w:noHBand="0" w:noVBand="1" w:val="04A0"/>
      </w:tblPr>
      <w:tblGrid>
        <w:gridCol w:w="9026"/>
      </w:tblGrid>
      <w:tr>
        <w:tc>
          <w:tcPr>
            <w:tcW w:type="dxa" w:w="9026"/>
          </w:tcPr>
          <w:p>
            <w:r/>
            <w:r>
              <w:rPr>
                <w:b/>
                <w:sz w:val="24"/>
              </w:rPr>
              <w:t>Spotahome</w:t>
            </w:r>
          </w:p>
        </w:tc>
      </w:tr>
      <w:tr>
        <w:tc>
          <w:tcPr>
            <w:tcW w:type="dxa" w:w="9026"/>
          </w:tcPr>
          <w:p>
            <w:r/>
            <w:r>
              <w:rPr>
                <w:b/>
                <w:color w:val="2D4DC4"/>
                <w:sz w:val="52"/>
              </w:rPr>
              <w:t>Field notebook</w:t>
            </w:r>
          </w:p>
        </w:tc>
      </w:tr>
      <w:tr>
        <w:tc>
          <w:tcPr>
            <w:tcW w:type="dxa" w:w="9026"/>
          </w:tcPr>
          <w:p>
            <w:r/>
            <w:r>
              <w:rPr>
                <w:b w:val="0"/>
                <w:sz w:val="24"/>
              </w:rPr>
              <w:t>Online ethnography, 5 to 7 October 2026</w:t>
            </w:r>
          </w:p>
        </w:tc>
      </w:tr>
    </w:tbl>
    <w:p/>
    <w:p>
      <w:r>
        <w:rPr>
          <w:i/>
          <w:color w:val="666666"/>
        </w:rPr>
        <w:t>Descriptive, analytical and reflexive notes, after Beaud and Weber. Public messages only: no name or booking reference is reproduced, no account was created.</w:t>
      </w:r>
    </w:p>
    <w:p>
      <w:pPr>
        <w:pStyle w:val="Heading1"/>
      </w:pPr>
      <w:r>
        <w:t>1 | The field and its boundaries</w:t>
      </w:r>
    </w:p>
    <w:p>
      <w:r>
        <w:rPr>
          <w:b w:val="0"/>
          <w:i w:val="0"/>
        </w:rPr>
        <w:t>The field isn't a physical place but a set of online spaces where renting without visiting plays out: Spotahome's interface itself, its documents (terms, help centre), and the spaces where tenants talk about it among themselves or to the brand (Trustpilot, App Store, forums).</w:t>
      </w:r>
    </w:p>
    <w:p>
      <w:pPr>
        <w:pStyle w:val="ListBullet"/>
      </w:pPr>
      <w:r>
        <w:t>The site and listings: the user "script", what the interface expects. I'm a logged-out visitor in a private window.</w:t>
      </w:r>
    </w:p>
    <w:p>
      <w:pPr>
        <w:pStyle w:val="ListBullet"/>
      </w:pPr>
      <w:r>
        <w:t>The terms and help centre: the written rule, what qualifies situations. I'm a reader there.</w:t>
      </w:r>
    </w:p>
    <w:p>
      <w:pPr>
        <w:pStyle w:val="ListBullet"/>
      </w:pPr>
      <w:r>
        <w:t>Trustpilot and the App Store: users' public voice and the brand's replies. Non-participant observer.</w:t>
      </w:r>
    </w:p>
    <w:p>
      <w:pPr>
        <w:pStyle w:val="ListBullet"/>
      </w:pPr>
      <w:r>
        <w:t>Forums (Que Choisir, Erasmusu): peer advice and warnings. Non-participant observer.</w:t>
      </w:r>
    </w:p>
    <w:p>
      <w:r>
        <w:rPr>
          <w:b w:val="0"/>
          <w:i w:val="0"/>
        </w:rPr>
        <w:t>Out of the field: Reddit (access refused by the server), private Facebook groups and Spotahome's logged-in area, which I chose not to open without a real account.</w:t>
      </w:r>
    </w:p>
    <w:p>
      <w:pPr>
        <w:pStyle w:val="Heading1"/>
      </w:pPr>
      <w:r>
        <w:t>2 | Journal</w:t>
      </w:r>
    </w:p>
    <w:p>
      <w:pPr>
        <w:pStyle w:val="Heading2"/>
      </w:pPr>
      <w:r>
        <w:t>Sunday 5 October 2026, evening · First contact with the site</w:t>
      </w:r>
    </w:p>
    <w:p>
      <w:pPr>
        <w:keepNext/>
      </w:pPr>
      <w:r>
        <w:rPr>
          <w:b w:val="0"/>
          <w:i/>
          <w:color w:val="666666"/>
        </w:rPr>
        <w:t>Laptop, private window, then simulated mobile view (390 px).</w:t>
      </w:r>
    </w:p>
    <w:p>
      <w:pPr>
        <w:keepNext/>
      </w:pPr>
      <w:r>
        <w:rPr>
          <w:b/>
          <w:color w:val="00A889"/>
        </w:rPr>
        <w:t>Descriptive notes</w:t>
      </w:r>
      <w:r>
        <w:rPr>
          <w:b w:val="0"/>
          <w:i w:val="0"/>
          <w:color w:val="00A889"/>
        </w:rPr>
      </w:r>
    </w:p>
    <w:p>
      <w:pPr>
        <w:ind w:left="227"/>
      </w:pPr>
      <w:r>
        <w:rPr>
          <w:b w:val="0"/>
          <w:i w:val="0"/>
        </w:rPr>
        <w:t>The home page shows "Monthly rental - simple, safe, stress-free" above a single search field. A pink and navy illustration, a mascot cat at the bottom right.</w:t>
      </w:r>
    </w:p>
    <w:p>
      <w:pPr>
        <w:ind w:left="227"/>
      </w:pPr>
      <w:r>
        <w:rPr>
          <w:b w:val="0"/>
          <w:i w:val="0"/>
        </w:rPr>
        <w:t>On the Madrid results page, each card carries labels in capitals: VERIFIED, PROTECTED DEPOSIT, INSTANT BOOKING. The price reads "€550/month".</w:t>
      </w:r>
    </w:p>
    <w:p>
      <w:pPr>
        <w:keepNext/>
      </w:pPr>
      <w:r>
        <w:rPr>
          <w:b/>
          <w:color w:val="00A889"/>
        </w:rPr>
        <w:t>Analytical notes</w:t>
      </w:r>
      <w:r>
        <w:rPr>
          <w:b w:val="0"/>
          <w:i w:val="0"/>
          <w:color w:val="00A889"/>
        </w:rPr>
      </w:r>
    </w:p>
    <w:p>
      <w:pPr>
        <w:ind w:left="227"/>
      </w:pPr>
      <w:r>
        <w:rPr>
          <w:b w:val="0"/>
          <w:i w:val="0"/>
        </w:rPr>
        <w:t>First impression: a clean, reassuring site. Safety vocabulary is everywhere ("fraud protection", "verified"). Trust is the central argument, ahead of the home itself.</w:t>
      </w:r>
    </w:p>
    <w:p>
      <w:pPr>
        <w:keepNext/>
      </w:pPr>
      <w:r>
        <w:rPr>
          <w:b/>
          <w:color w:val="00A889"/>
        </w:rPr>
        <w:t>Reflexive and methodological notes</w:t>
      </w:r>
      <w:r>
        <w:rPr>
          <w:b w:val="0"/>
          <w:i w:val="0"/>
          <w:color w:val="00A889"/>
        </w:rPr>
      </w:r>
    </w:p>
    <w:p>
      <w:pPr>
        <w:ind w:left="227"/>
      </w:pPr>
      <w:r>
        <w:rPr>
          <w:b w:val="0"/>
          <w:i/>
        </w:rPr>
        <w:t>I expected an "ugly" site. Visually, it isn't. I note the gap: the problem, if there is one, doesn't show on the surface. A first reason not to start with an audit.</w:t>
      </w:r>
    </w:p>
    <w:p>
      <w:pPr>
        <w:pStyle w:val="Heading2"/>
      </w:pPr>
      <w:r>
        <w:t>Sunday 5 October 2026, evening · Trustpilot</w:t>
      </w:r>
    </w:p>
    <w:p>
      <w:pPr>
        <w:keepNext/>
      </w:pPr>
      <w:r>
        <w:rPr>
          <w:b w:val="0"/>
          <w:i/>
          <w:color w:val="666666"/>
        </w:rPr>
        <w:t>Spotahome's public Trustpilot page, all languages.</w:t>
      </w:r>
    </w:p>
    <w:p>
      <w:pPr>
        <w:keepNext/>
      </w:pPr>
      <w:r>
        <w:rPr>
          <w:b/>
          <w:color w:val="00A889"/>
        </w:rPr>
        <w:t>Descriptive notes</w:t>
      </w:r>
      <w:r>
        <w:rPr>
          <w:b w:val="0"/>
          <w:i w:val="0"/>
          <w:color w:val="00A889"/>
        </w:rPr>
      </w:r>
    </w:p>
    <w:p>
      <w:pPr>
        <w:ind w:left="227"/>
      </w:pPr>
      <w:r>
        <w:rPr>
          <w:b w:val="0"/>
          <w:i w:val="0"/>
        </w:rPr>
        <w:t>17,712 reviews, score 3.5. Rating spread: 62% five stars, 19.5% one star, almost nothing in between. Positive reviews are short ("Smooth process", "Thank you Andrea"). Negative ones are long, dated, with booking and ticket numbers.</w:t>
      </w:r>
    </w:p>
    <w:p>
      <w:pPr>
        <w:keepNext/>
      </w:pPr>
      <w:r>
        <w:rPr>
          <w:b/>
          <w:color w:val="00A889"/>
        </w:rPr>
        <w:t>Analytical notes</w:t>
      </w:r>
      <w:r>
        <w:rPr>
          <w:b w:val="0"/>
          <w:i w:val="0"/>
          <w:color w:val="00A889"/>
        </w:rPr>
      </w:r>
    </w:p>
    <w:p>
      <w:pPr>
        <w:ind w:left="227"/>
      </w:pPr>
      <w:r>
        <w:rPr>
          <w:b w:val="0"/>
          <w:i w:val="0"/>
        </w:rPr>
        <w:t>Two different genres of writing. The positive review reads like an end-of-transaction thank-you; the negative one reads like a case file, even evidence. Authors write to be read by the brand, but also by future tenants.</w:t>
      </w:r>
    </w:p>
    <w:p>
      <w:pPr>
        <w:keepNext/>
      </w:pPr>
      <w:r>
        <w:rPr>
          <w:b/>
          <w:color w:val="00A889"/>
        </w:rPr>
        <w:t>Reflexive and methodological notes</w:t>
      </w:r>
      <w:r>
        <w:rPr>
          <w:b w:val="0"/>
          <w:i w:val="0"/>
          <w:color w:val="00A889"/>
        </w:rPr>
      </w:r>
    </w:p>
    <w:p>
      <w:pPr>
        <w:ind w:left="227"/>
      </w:pPr>
      <w:r>
        <w:rPr>
          <w:b w:val="0"/>
          <w:i/>
        </w:rPr>
        <w:t>Bias to watch: a review corpus over-represents extremes. I therefore sample 100 reviews per rating rather than the latest ones, so as not to reproduce the U-curve in my own corpus.</w:t>
      </w:r>
    </w:p>
    <w:p>
      <w:pPr>
        <w:pStyle w:val="Heading2"/>
      </w:pPr>
      <w:r>
        <w:t>Sunday 5 October 2026, night · Que Choisir forums</w:t>
      </w:r>
    </w:p>
    <w:p>
      <w:pPr>
        <w:keepNext/>
      </w:pPr>
      <w:r>
        <w:rPr>
          <w:b w:val="0"/>
          <w:i/>
          <w:color w:val="666666"/>
        </w:rPr>
        <w:t>Thread "Is Spotahome reliable?", 2 pages, posts from 2016 to 2019.</w:t>
      </w:r>
    </w:p>
    <w:p>
      <w:pPr>
        <w:keepNext/>
      </w:pPr>
      <w:r>
        <w:rPr>
          <w:b/>
          <w:color w:val="00A889"/>
        </w:rPr>
        <w:t>Descriptive notes</w:t>
      </w:r>
      <w:r>
        <w:rPr>
          <w:b w:val="0"/>
          <w:i w:val="0"/>
          <w:color w:val="00A889"/>
        </w:rPr>
      </w:r>
    </w:p>
    <w:p>
      <w:pPr>
        <w:ind w:left="227"/>
      </w:pPr>
      <w:r>
        <w:rPr>
          <w:b w:val="0"/>
          <w:i w:val="0"/>
        </w:rPr>
        <w:t>A user asks whether the site is reliable because you have to pay before contacting the landlord. Replies alternate negative and reassuring stories. A Spotahome representative steps in once to dispute a story and ask for evidence.</w:t>
      </w:r>
    </w:p>
    <w:p>
      <w:pPr>
        <w:keepNext/>
      </w:pPr>
      <w:r>
        <w:rPr>
          <w:b/>
          <w:color w:val="00A889"/>
        </w:rPr>
        <w:t>Analytical notes</w:t>
      </w:r>
      <w:r>
        <w:rPr>
          <w:b w:val="0"/>
          <w:i w:val="0"/>
          <w:color w:val="00A889"/>
        </w:rPr>
      </w:r>
    </w:p>
    <w:p>
      <w:pPr>
        <w:ind w:left="227"/>
      </w:pPr>
      <w:r>
        <w:rPr>
          <w:b w:val="0"/>
          <w:i w:val="0"/>
        </w:rPr>
        <w:t>The situations described in 2017 (agency fee demanded on arrival, the 24-hour rule, deposit not returned) are those of the 2026 reviews. The problem isn't a growing pain: it's structural.</w:t>
      </w:r>
    </w:p>
    <w:p>
      <w:pPr>
        <w:keepNext/>
      </w:pPr>
      <w:r>
        <w:rPr>
          <w:b/>
          <w:color w:val="00A889"/>
        </w:rPr>
        <w:t>Reflexive and methodological notes</w:t>
      </w:r>
      <w:r>
        <w:rPr>
          <w:b w:val="0"/>
          <w:i w:val="0"/>
          <w:color w:val="00A889"/>
        </w:rPr>
      </w:r>
    </w:p>
    <w:p>
      <w:pPr>
        <w:ind w:left="227"/>
      </w:pPr>
      <w:r>
        <w:rPr>
          <w:b w:val="0"/>
          <w:i/>
        </w:rPr>
        <w:t>The Erasmusu forum, a student community bought by Spotahome, has a thread where the question "Is Spotahome reliable?" remains unanswered. I don't over-read a silence, but I note it.</w:t>
      </w:r>
    </w:p>
    <w:p>
      <w:pPr>
        <w:pStyle w:val="Heading2"/>
      </w:pPr>
      <w:r>
        <w:t>Monday 6 October 2026 · Walkthrough of a listing, Madrid</w:t>
      </w:r>
    </w:p>
    <w:p>
      <w:pPr>
        <w:keepNext/>
      </w:pPr>
      <w:r>
        <w:rPr>
          <w:b w:val="0"/>
          <w:i/>
          <w:color w:val="666666"/>
        </w:rPr>
        <w:t>Listing 1497501, 2-bedroom apartment in Orcasitas, simulated dates 1 December to 28 February.</w:t>
      </w:r>
    </w:p>
    <w:p>
      <w:pPr>
        <w:keepNext/>
      </w:pPr>
      <w:r>
        <w:rPr>
          <w:b/>
          <w:color w:val="00A889"/>
        </w:rPr>
        <w:t>Descriptive notes</w:t>
      </w:r>
      <w:r>
        <w:rPr>
          <w:b w:val="0"/>
          <w:i w:val="0"/>
          <w:color w:val="00A889"/>
        </w:rPr>
      </w:r>
    </w:p>
    <w:p>
      <w:pPr>
        <w:ind w:left="227"/>
      </w:pPr>
      <w:r>
        <w:rPr>
          <w:b w:val="0"/>
          <w:i w:val="0"/>
        </w:rPr>
        <w:t>The "Property verified by Spotahome" badge reads "Verified on 6 Nov 2025". The "landlord" is a company with 279 listings, rated 3.5. Under the price, a line: "This landlord applies extra conditions and fees not shown in this summary".</w:t>
      </w:r>
    </w:p>
    <w:p>
      <w:pPr>
        <w:ind w:left="227"/>
      </w:pPr>
      <w:r>
        <w:rPr>
          <w:b w:val="0"/>
          <w:i w:val="0"/>
        </w:rPr>
        <w:t>Once dates are entered: "Total to pay per booking request: €2,450. Includes one month's rent in advance and the Spotahome guarantee." The breakdown shows €650 of "Spotahome fees", €599 before move-in, €121 at move-out. No total for the stay.</w:t>
      </w:r>
    </w:p>
    <w:p>
      <w:pPr>
        <w:ind w:left="227"/>
      </w:pPr>
      <w:r>
        <w:rPr>
          <w:b w:val="0"/>
          <w:i w:val="0"/>
        </w:rPr>
        <w:t>The "views" counter goes from 428 to 440 over my visits during the day.</w:t>
      </w:r>
    </w:p>
    <w:p>
      <w:pPr>
        <w:keepNext/>
      </w:pPr>
      <w:r>
        <w:rPr>
          <w:b/>
          <w:color w:val="00A889"/>
        </w:rPr>
        <w:t>Analytical notes</w:t>
      </w:r>
      <w:r>
        <w:rPr>
          <w:b w:val="0"/>
          <w:i w:val="0"/>
          <w:color w:val="00A889"/>
        </w:rPr>
      </w:r>
    </w:p>
    <w:p>
      <w:pPr>
        <w:ind w:left="227"/>
      </w:pPr>
      <w:r>
        <w:rPr>
          <w:b w:val="0"/>
          <w:i w:val="0"/>
        </w:rPr>
        <w:t>The word "guarantee" names both the protection and the fee: the same term reassures and bills. The total price, the decisive information for a three-month rental, doesn't exist as an object in the interface; one has to build it oneself.</w:t>
      </w:r>
    </w:p>
    <w:p>
      <w:pPr>
        <w:keepNext/>
      </w:pPr>
      <w:r>
        <w:rPr>
          <w:b/>
          <w:color w:val="00A889"/>
        </w:rPr>
        <w:t>Reflexive and methodological notes</w:t>
      </w:r>
      <w:r>
        <w:rPr>
          <w:b w:val="0"/>
          <w:i w:val="0"/>
          <w:color w:val="00A889"/>
        </w:rPr>
      </w:r>
    </w:p>
    <w:p>
      <w:pPr>
        <w:ind w:left="227"/>
      </w:pPr>
      <w:r>
        <w:rPr>
          <w:b w:val="0"/>
          <w:i/>
        </w:rPr>
        <w:t>Observer effect: my own visits raise a counter shown to other visitors as a sign of popularity. The social-pressure device also feeds on the researcher's presence. I can't avoid it, I document it.</w:t>
      </w:r>
    </w:p>
    <w:p>
      <w:pPr>
        <w:pStyle w:val="Heading2"/>
      </w:pPr>
      <w:r>
        <w:t>Monday 6 October 2026 · The sign-up wall</w:t>
      </w:r>
    </w:p>
    <w:p>
      <w:pPr>
        <w:keepNext/>
      </w:pPr>
      <w:r>
        <w:rPr>
          <w:b w:val="0"/>
          <w:i/>
          <w:color w:val="666666"/>
        </w:rPr>
        <w:t>Booking button, then sign-up screen.</w:t>
      </w:r>
    </w:p>
    <w:p>
      <w:pPr>
        <w:keepNext/>
      </w:pPr>
      <w:r>
        <w:rPr>
          <w:b/>
          <w:color w:val="00A889"/>
        </w:rPr>
        <w:t>Descriptive notes</w:t>
      </w:r>
      <w:r>
        <w:rPr>
          <w:b w:val="0"/>
          <w:i w:val="0"/>
          <w:color w:val="00A889"/>
        </w:rPr>
      </w:r>
    </w:p>
    <w:p>
      <w:pPr>
        <w:ind w:left="227"/>
      </w:pPr>
      <w:r>
        <w:rPr>
          <w:b w:val="0"/>
          <w:i w:val="0"/>
        </w:rPr>
        <w:t>The button opens "Join the largest community!" with Google sign-in, an email field and a box "I want to subscribe to marketing offers".</w:t>
      </w:r>
    </w:p>
    <w:p>
      <w:pPr>
        <w:keepNext/>
      </w:pPr>
      <w:r>
        <w:rPr>
          <w:b/>
          <w:color w:val="00A889"/>
        </w:rPr>
        <w:t>Analytical notes</w:t>
      </w:r>
      <w:r>
        <w:rPr>
          <w:b w:val="0"/>
          <w:i w:val="0"/>
          <w:color w:val="00A889"/>
        </w:rPr>
      </w:r>
    </w:p>
    <w:p>
      <w:pPr>
        <w:ind w:left="227"/>
      </w:pPr>
      <w:r>
        <w:rPr>
          <w:b w:val="0"/>
          <w:i w:val="0"/>
        </w:rPr>
        <w:t>At the exact moment one wants to book, the interface talks about community and marketing, not about what will be charged.</w:t>
      </w:r>
    </w:p>
    <w:p>
      <w:pPr>
        <w:keepNext/>
      </w:pPr>
      <w:r>
        <w:rPr>
          <w:b/>
          <w:color w:val="00A889"/>
        </w:rPr>
        <w:t>Reflexive and methodological notes</w:t>
      </w:r>
      <w:r>
        <w:rPr>
          <w:b w:val="0"/>
          <w:i w:val="0"/>
          <w:color w:val="00A889"/>
        </w:rPr>
      </w:r>
    </w:p>
    <w:p>
      <w:pPr>
        <w:ind w:left="227"/>
      </w:pPr>
      <w:r>
        <w:rPr>
          <w:b w:val="0"/>
          <w:i/>
        </w:rPr>
        <w:t>Ethical decision: I stop here. Creating an account under a fake profile would have shown the rest, but would have deceived the platform and real landlords. The rest of the journey is rebuilt from the terms, help centre and reviews, and I say so in every deliverable.</w:t>
      </w:r>
    </w:p>
    <w:p>
      <w:pPr>
        <w:pStyle w:val="Heading2"/>
      </w:pPr>
      <w:r>
        <w:t>Monday 6 October 2026 · Reading the terms</w:t>
      </w:r>
    </w:p>
    <w:p>
      <w:pPr>
        <w:keepNext/>
      </w:pPr>
      <w:r>
        <w:rPr>
          <w:b w:val="0"/>
          <w:i/>
          <w:color w:val="666666"/>
        </w:rPr>
        <w:t>Terms and conditions, French version, 31,644 words.</w:t>
      </w:r>
    </w:p>
    <w:p>
      <w:pPr>
        <w:keepNext/>
      </w:pPr>
      <w:r>
        <w:rPr>
          <w:b/>
          <w:color w:val="00A889"/>
        </w:rPr>
        <w:t>Descriptive notes</w:t>
      </w:r>
      <w:r>
        <w:rPr>
          <w:b w:val="0"/>
          <w:i w:val="0"/>
          <w:color w:val="00A889"/>
        </w:rPr>
      </w:r>
    </w:p>
    <w:p>
      <w:pPr>
        <w:ind w:left="227"/>
      </w:pPr>
      <w:r>
        <w:rPr>
          <w:b w:val="0"/>
          <w:i w:val="0"/>
        </w:rPr>
        <w:t>Section 7.1 lists the "significant handicaps" that open a right to cancel, in word-for-word translations ("Ouverture inviolable vers l'extérieur"). Section 7.2 classes as "minor deficiency": "Higher payments than advertised", "The landlord lives in the booked home", "Advertised furniture or appliances not provided".</w:t>
      </w:r>
    </w:p>
    <w:p>
      <w:pPr>
        <w:keepNext/>
      </w:pPr>
      <w:r>
        <w:rPr>
          <w:b/>
          <w:color w:val="00A889"/>
        </w:rPr>
        <w:t>Analytical notes</w:t>
      </w:r>
      <w:r>
        <w:rPr>
          <w:b w:val="0"/>
          <w:i w:val="0"/>
          <w:color w:val="00A889"/>
        </w:rPr>
      </w:r>
    </w:p>
    <w:p>
      <w:pPr>
        <w:ind w:left="227"/>
      </w:pPr>
      <w:r>
        <w:rPr>
          <w:b w:val="0"/>
          <w:i w:val="0"/>
        </w:rPr>
        <w:t>The situations most cited in negative reviews are filed in advance under the category that opens no right. The conflict isn't about facts but about their qualification: a "test" in Boltanski and Thévenot's sense, where only one party holds the categories.</w:t>
      </w:r>
    </w:p>
    <w:p>
      <w:pPr>
        <w:keepNext/>
      </w:pPr>
      <w:r>
        <w:rPr>
          <w:b/>
          <w:color w:val="00A889"/>
        </w:rPr>
        <w:t>Reflexive and methodological notes</w:t>
      </w:r>
      <w:r>
        <w:rPr>
          <w:b w:val="0"/>
          <w:i w:val="0"/>
          <w:color w:val="00A889"/>
        </w:rPr>
      </w:r>
    </w:p>
    <w:p>
      <w:pPr>
        <w:ind w:left="227"/>
      </w:pPr>
      <w:r>
        <w:rPr>
          <w:b w:val="0"/>
          <w:i/>
        </w:rPr>
        <w:t>At 250 words a minute, a full reading takes just over two hours. No tenant in a hurry, often abroad, will do so before paying. It's an ergonomic finding as much as a sociological one.</w:t>
      </w:r>
    </w:p>
    <w:p>
      <w:pPr>
        <w:pStyle w:val="Heading2"/>
      </w:pPr>
      <w:r>
        <w:t>Monday 6 October 2026 · Sixty listings</w:t>
      </w:r>
    </w:p>
    <w:p>
      <w:pPr>
        <w:keepNext/>
      </w:pPr>
      <w:r>
        <w:rPr>
          <w:b w:val="0"/>
          <w:i/>
          <w:color w:val="666666"/>
        </w:rPr>
        <w:t>20 random listings each in Madrid, Barcelona and Milan, recorded on a fixed grid.</w:t>
      </w:r>
    </w:p>
    <w:p>
      <w:pPr>
        <w:keepNext/>
      </w:pPr>
      <w:r>
        <w:rPr>
          <w:b/>
          <w:color w:val="00A889"/>
        </w:rPr>
        <w:t>Descriptive notes</w:t>
      </w:r>
      <w:r>
        <w:rPr>
          <w:b w:val="0"/>
          <w:i w:val="0"/>
          <w:color w:val="00A889"/>
        </w:rPr>
      </w:r>
    </w:p>
    <w:p>
      <w:pPr>
        <w:ind w:left="227"/>
      </w:pPr>
      <w:r>
        <w:rPr>
          <w:b w:val="0"/>
          <w:i w:val="0"/>
        </w:rPr>
        <w:t>"Verified on" dates range from a few weeks to over seven years. Of 37 shared rooms, 4 say anything about the people already living there. Several descriptions remain in Spanish or Italian on the French version of the site.</w:t>
      </w:r>
    </w:p>
    <w:p>
      <w:pPr>
        <w:keepNext/>
      </w:pPr>
      <w:r>
        <w:rPr>
          <w:b/>
          <w:color w:val="00A889"/>
        </w:rPr>
        <w:t>Analytical notes</w:t>
      </w:r>
      <w:r>
        <w:rPr>
          <w:b w:val="0"/>
          <w:i w:val="0"/>
          <w:color w:val="00A889"/>
        </w:rPr>
      </w:r>
    </w:p>
    <w:p>
      <w:pPr>
        <w:ind w:left="227"/>
      </w:pPr>
      <w:r>
        <w:rPr>
          <w:b w:val="0"/>
          <w:i w:val="0"/>
        </w:rPr>
        <w:t>The "Verified" label is a judgement device (Karpik): it replaces the visit. But it says neither how nor when it was obtained, and users can't revise it with their own review: the trust loop is closed.</w:t>
      </w:r>
    </w:p>
    <w:p>
      <w:pPr>
        <w:keepNext/>
      </w:pPr>
      <w:r>
        <w:rPr>
          <w:b/>
          <w:color w:val="00A889"/>
        </w:rPr>
        <w:t>Reflexive and methodological notes</w:t>
      </w:r>
      <w:r>
        <w:rPr>
          <w:b w:val="0"/>
          <w:i w:val="0"/>
          <w:color w:val="00A889"/>
        </w:rPr>
      </w:r>
    </w:p>
    <w:p>
      <w:pPr>
        <w:ind w:left="227"/>
      </w:pPr>
      <w:r>
        <w:rPr>
          <w:b w:val="0"/>
          <w:i/>
        </w:rPr>
        <w:t>The grid was set before collecting, so as not to pick listings that would confirm my intuitions.</w:t>
      </w:r>
    </w:p>
    <w:p>
      <w:pPr>
        <w:pStyle w:val="Heading2"/>
      </w:pPr>
      <w:r>
        <w:t>Tuesday 7 October 2026 · The brand's public replies</w:t>
      </w:r>
    </w:p>
    <w:p>
      <w:pPr>
        <w:keepNext/>
      </w:pPr>
      <w:r>
        <w:rPr>
          <w:b w:val="0"/>
          <w:i/>
          <w:color w:val="666666"/>
        </w:rPr>
        <w:t>203 Spotahome replies to 1 to 3-star reviews.</w:t>
      </w:r>
    </w:p>
    <w:p>
      <w:pPr>
        <w:keepNext/>
      </w:pPr>
      <w:r>
        <w:rPr>
          <w:b/>
          <w:color w:val="00A889"/>
        </w:rPr>
        <w:t>Descriptive notes</w:t>
      </w:r>
      <w:r>
        <w:rPr>
          <w:b w:val="0"/>
          <w:i w:val="0"/>
          <w:color w:val="00A889"/>
        </w:rPr>
      </w:r>
    </w:p>
    <w:p>
      <w:pPr>
        <w:ind w:left="227"/>
      </w:pPr>
      <w:r>
        <w:rPr>
          <w:b w:val="0"/>
          <w:i w:val="0"/>
        </w:rPr>
        <w:t>Replies follow an almost fixed sequence: greeting by first name, regret ("We're sorry to hear…"), announcement of an ongoing review, redirection to a private channel, signature "The Spotahome Team". Median delay: 46 hours after the review.</w:t>
      </w:r>
    </w:p>
    <w:p>
      <w:pPr>
        <w:keepNext/>
      </w:pPr>
      <w:r>
        <w:rPr>
          <w:b/>
          <w:color w:val="00A889"/>
        </w:rPr>
        <w:t>Analytical notes</w:t>
      </w:r>
      <w:r>
        <w:rPr>
          <w:b w:val="0"/>
          <w:i w:val="0"/>
          <w:color w:val="00A889"/>
        </w:rPr>
      </w:r>
    </w:p>
    <w:p>
      <w:pPr>
        <w:ind w:left="227"/>
      </w:pPr>
      <w:r>
        <w:rPr>
          <w:b w:val="0"/>
          <w:i w:val="0"/>
        </w:rPr>
        <w:t>The public reply is a stage, in Goffman's sense: it speaks less to the author than to future readers, and serves to save face. Resolution is sent backstage ("contact us privately"). Users, in turn, drag the backstage onto the stage by publishing their ticket numbers.</w:t>
      </w:r>
    </w:p>
    <w:p>
      <w:pPr>
        <w:keepNext/>
      </w:pPr>
      <w:r>
        <w:rPr>
          <w:b/>
          <w:color w:val="00A889"/>
        </w:rPr>
        <w:t>Reflexive and methodological notes</w:t>
      </w:r>
      <w:r>
        <w:rPr>
          <w:b w:val="0"/>
          <w:i w:val="0"/>
          <w:color w:val="00A889"/>
        </w:rPr>
      </w:r>
    </w:p>
    <w:p>
      <w:pPr>
        <w:ind w:left="227"/>
      </w:pPr>
      <w:r>
        <w:rPr>
          <w:b w:val="0"/>
          <w:i/>
        </w:rPr>
        <w:t>Contrast to keep in mind: no public reply is signed with a first name, while positive reviews thank named agents. Trust has a face backstage, and no face on stage.</w:t>
      </w:r>
    </w:p>
    <w:p>
      <w:pPr>
        <w:pStyle w:val="Heading2"/>
      </w:pPr>
      <w:r>
        <w:t>Tuesday 7 October 2026 · Photos, time, words and rules</w:t>
      </w:r>
    </w:p>
    <w:p>
      <w:pPr>
        <w:keepNext/>
      </w:pPr>
      <w:r>
        <w:rPr>
          <w:b w:val="0"/>
          <w:i/>
          <w:color w:val="666666"/>
        </w:rPr>
        <w:t>Back to the 60 listings, the coded corpus and the terms with other tools.</w:t>
      </w:r>
    </w:p>
    <w:p>
      <w:pPr>
        <w:keepNext/>
      </w:pPr>
      <w:r>
        <w:rPr>
          <w:b/>
          <w:color w:val="00A889"/>
        </w:rPr>
        <w:t>Descriptive notes</w:t>
      </w:r>
      <w:r>
        <w:rPr>
          <w:b w:val="0"/>
          <w:i w:val="0"/>
          <w:color w:val="00A889"/>
        </w:rPr>
      </w:r>
    </w:p>
    <w:p>
      <w:pPr>
        <w:ind w:left="227"/>
      </w:pPr>
      <w:r>
        <w:rPr>
          <w:b w:val="0"/>
          <w:i w:val="0"/>
        </w:rPr>
        <w:t>Photos: no person visible in any of the 60 listings; the bedroom is the first image in 62% of cases; towels folded on the bed in at least 8 listings; one listing uses photos marked "Example"; two show a room still occupied, with the current tenant's belongings.</w:t>
      </w:r>
    </w:p>
    <w:p>
      <w:pPr>
        <w:ind w:left="227"/>
      </w:pPr>
      <w:r>
        <w:rPr>
          <w:b w:val="0"/>
          <w:i w:val="0"/>
        </w:rPr>
        <w:t>Time: a 5-star review is written the same day as the experience (median), a 1-star review five days later. On the App Store, complaints about the interface fall (38% in 2017-2020, 26% in 2024-2026) while support silence rises (0%, then 17%, then 24%).</w:t>
      </w:r>
    </w:p>
    <w:p>
      <w:pPr>
        <w:ind w:left="227"/>
      </w:pPr>
      <w:r>
        <w:rPr>
          <w:b w:val="0"/>
          <w:i w:val="0"/>
        </w:rPr>
        <w:t>Words: negative reviews speak the language of the case file (refund, fee, case, weeks, emails); positive ones that of service (helpful, smooth, easy, staff).</w:t>
      </w:r>
    </w:p>
    <w:p>
      <w:pPr>
        <w:ind w:left="227"/>
      </w:pPr>
      <w:r>
        <w:rPr>
          <w:b w:val="0"/>
          <w:i w:val="0"/>
        </w:rPr>
        <w:t>Rules: the "Guarantees" page has 50 certainty markers per 1,000 words and 4 conditions; section 7 of the terms, 2 certainty markers and 13 conditions, with 40-word sentences on average. The terms use "discretion" 42 times and "reserves the right" 54 times.</w:t>
      </w:r>
    </w:p>
    <w:p>
      <w:pPr>
        <w:keepNext/>
      </w:pPr>
      <w:r>
        <w:rPr>
          <w:b/>
          <w:color w:val="00A889"/>
        </w:rPr>
        <w:t>Analytical notes</w:t>
      </w:r>
      <w:r>
        <w:rPr>
          <w:b w:val="0"/>
          <w:i w:val="0"/>
          <w:color w:val="00A889"/>
        </w:rPr>
      </w:r>
    </w:p>
    <w:p>
      <w:pPr>
        <w:ind w:left="227"/>
      </w:pPr>
      <w:r>
        <w:rPr>
          <w:b w:val="0"/>
          <w:i w:val="0"/>
        </w:rPr>
        <w:t>The promise and the rule don't share a grammar: one asserts, the other conditions. Tenants read the first before paying and discover the second when things go wrong.</w:t>
      </w:r>
    </w:p>
    <w:p>
      <w:pPr>
        <w:ind w:left="227"/>
      </w:pPr>
      <w:r>
        <w:rPr>
          <w:b w:val="0"/>
          <w:i w:val="0"/>
        </w:rPr>
        <w:t>The listing photo is hotel-style staging without inhabitants: it sells a place, never a shared life, even for rooms in shared flats.</w:t>
      </w:r>
    </w:p>
    <w:p>
      <w:pPr>
        <w:keepNext/>
      </w:pPr>
      <w:r>
        <w:rPr>
          <w:b/>
          <w:color w:val="00A889"/>
        </w:rPr>
        <w:t>Reflexive and methodological notes</w:t>
      </w:r>
      <w:r>
        <w:rPr>
          <w:b w:val="0"/>
          <w:i w:val="0"/>
          <w:color w:val="00A889"/>
        </w:rPr>
      </w:r>
    </w:p>
    <w:p>
      <w:pPr>
        <w:ind w:left="227"/>
      </w:pPr>
      <w:r>
        <w:rPr>
          <w:b w:val="0"/>
          <w:i/>
        </w:rPr>
        <w:t>Error spotted and fixed: going back over the photos, I saw that 7 of the 60 collected links were search category pages, not listings. I topped up the sample with 7 real listings drawn by the same rule, then recalculated every figure. Without that visual check, the gap would have gone unnoticed.</w:t>
      </w:r>
    </w:p>
    <w:p>
      <w:pPr>
        <w:ind w:left="227"/>
      </w:pPr>
      <w:r>
        <w:rPr>
          <w:b w:val="0"/>
          <w:i/>
        </w:rPr>
        <w:t>The visual coding was done by one person: a second coder would be needed to measure agreement.</w:t>
      </w:r>
    </w:p>
    <w:p>
      <w:pPr>
        <w:pStyle w:val="Heading2"/>
      </w:pPr>
      <w:r>
        <w:t>Tuesday 7 October 2026, evening · Measuring without participants</w:t>
      </w:r>
    </w:p>
    <w:p>
      <w:pPr>
        <w:keepNext/>
      </w:pPr>
      <w:r>
        <w:rPr>
          <w:b w:val="0"/>
          <w:i/>
          <w:color w:val="666666"/>
        </w:rPr>
        <w:t>Ergonomic psychology and document readings, on the same data.</w:t>
      </w:r>
    </w:p>
    <w:p>
      <w:pPr>
        <w:keepNext/>
      </w:pPr>
      <w:r>
        <w:rPr>
          <w:b/>
          <w:color w:val="00A889"/>
        </w:rPr>
        <w:t>Descriptive notes</w:t>
      </w:r>
      <w:r>
        <w:rPr>
          <w:b w:val="0"/>
          <w:i w:val="0"/>
          <w:color w:val="00A889"/>
        </w:rPr>
      </w:r>
    </w:p>
    <w:p>
      <w:pPr>
        <w:ind w:left="227"/>
      </w:pPr>
      <w:r>
        <w:rPr>
          <w:b w:val="0"/>
          <w:i w:val="0"/>
        </w:rPr>
        <w:t>KLM model on listing 1497501: finding the cost of three months takes 52 seconds, 8 clicks, 5 sums and 8 amounts to hold across 3 screens. With the redesign: 14.5 seconds, no clicks, one amount.</w:t>
      </w:r>
    </w:p>
    <w:p>
      <w:pPr>
        <w:ind w:left="227"/>
      </w:pPr>
      <w:r>
        <w:rPr>
          <w:b w:val="0"/>
          <w:i w:val="0"/>
        </w:rPr>
        <w:t>Cognitive walkthrough on 10 steps: 24 failures out of 40 questions. The fourth question ("can you see you're progressing?") fails at every step.</w:t>
      </w:r>
    </w:p>
    <w:p>
      <w:pPr>
        <w:ind w:left="227"/>
      </w:pPr>
      <w:r>
        <w:rPr>
          <w:b w:val="0"/>
          <w:i w:val="0"/>
        </w:rPr>
        <w:t>Accessibility, axe-core on 5 pages: 340 defects including 223 critical; 137 unnamed buttons, including the heart and arrows on every card.</w:t>
      </w:r>
    </w:p>
    <w:p>
      <w:pPr>
        <w:ind w:left="227"/>
      </w:pPr>
      <w:r>
        <w:rPr>
          <w:b w:val="0"/>
          <w:i w:val="0"/>
        </w:rPr>
        <w:t>The 60 listings reread for dark patterns: no countdowns, but counters everywhere, a price that only appears after dates, and an admin fee of one month's rent on nearly one listing in two.</w:t>
      </w:r>
    </w:p>
    <w:p>
      <w:pPr>
        <w:ind w:left="227"/>
      </w:pPr>
      <w:r>
        <w:rPr>
          <w:b w:val="0"/>
          <w:i w:val="0"/>
        </w:rPr>
        <w:t>60 one-star reviews read as stories: 92% have no resolution, 73% are still open when written.</w:t>
      </w:r>
    </w:p>
    <w:p>
      <w:pPr>
        <w:keepNext/>
      </w:pPr>
      <w:r>
        <w:rPr>
          <w:b/>
          <w:color w:val="00A889"/>
        </w:rPr>
        <w:t>Analytical notes</w:t>
      </w:r>
      <w:r>
        <w:rPr>
          <w:b w:val="0"/>
          <w:i w:val="0"/>
          <w:color w:val="00A889"/>
        </w:rPr>
      </w:r>
    </w:p>
    <w:p>
      <w:pPr>
        <w:ind w:left="227"/>
      </w:pPr>
      <w:r>
        <w:rPr>
          <w:b w:val="0"/>
          <w:i w:val="0"/>
        </w:rPr>
        <w:t>Mayer's model sheds light on the netnography: the platform is first blamed for not keeping its word (integrity, 76.5% of negative Trustpilot reviews), then for being silent. Positive reviews say "it works", never that it's honest.</w:t>
      </w:r>
    </w:p>
    <w:p>
      <w:pPr>
        <w:ind w:left="227"/>
      </w:pPr>
      <w:r>
        <w:rPr>
          <w:b w:val="0"/>
          <w:i w:val="0"/>
        </w:rPr>
        <w:t>Homechecker job ads describe a freelance photographer. Publicly, "verified" means producing images: that's the meaning the badge hides.</w:t>
      </w:r>
    </w:p>
    <w:p>
      <w:pPr>
        <w:keepNext/>
      </w:pPr>
      <w:r>
        <w:rPr>
          <w:b/>
          <w:color w:val="00A889"/>
        </w:rPr>
        <w:t>Reflexive and methodological notes</w:t>
      </w:r>
      <w:r>
        <w:rPr>
          <w:b w:val="0"/>
          <w:i w:val="0"/>
          <w:color w:val="00A889"/>
        </w:rPr>
      </w:r>
    </w:p>
    <w:p>
      <w:pPr>
        <w:ind w:left="227"/>
      </w:pPr>
      <w:r>
        <w:rPr>
          <w:b w:val="0"/>
          <w:i/>
        </w:rPr>
        <w:t>KLM describes an expert who never errs: a lower bound, to confirm in testing.</w:t>
      </w:r>
    </w:p>
    <w:p>
      <w:pPr>
        <w:ind w:left="227"/>
      </w:pPr>
      <w:r>
        <w:rPr>
          <w:b w:val="0"/>
          <w:i/>
        </w:rPr>
        <w:t>Reading the terms against the unfair-clause lists is a researcher's grid, not legal advice; the applicable law remains to be established.</w:t>
      </w:r>
    </w:p>
    <w:p>
      <w:pPr>
        <w:ind w:left="227"/>
      </w:pPr>
      <w:r>
        <w:rPr>
          <w:b w:val="0"/>
          <w:i/>
        </w:rPr>
        <w:t>One review keeps, pasted by mistake at the end, rewriting advice addressed to its author. Reviews are also crafted texts, sometimes with help.</w:t>
      </w:r>
    </w:p>
    <w:p>
      <w:pPr>
        <w:pStyle w:val="Heading1"/>
      </w:pPr>
      <w:r>
        <w:t>3 | Coding log</w:t>
      </w:r>
    </w:p>
    <w:tbl>
      <w:tblPr>
        <w:tblStyle w:val="TableGrid"/>
        <w:tblW w:type="auto" w:w="0"/>
        <w:tblLook w:firstColumn="1" w:firstRow="1" w:lastColumn="0" w:lastRow="0" w:noHBand="0" w:noVBand="1" w:val="04A0"/>
      </w:tblPr>
      <w:tblGrid>
        <w:gridCol w:w="3009"/>
        <w:gridCol w:w="3009"/>
        <w:gridCol w:w="3009"/>
      </w:tblGrid>
      <w:tr>
        <w:tc>
          <w:tcPr>
            <w:tcW w:type="dxa" w:w="907"/>
            <w:shd w:val="clear" w:color="auto" w:fill="E8E9F5"/>
          </w:tcPr>
          <w:p>
            <w:r/>
            <w:r>
              <w:rPr>
                <w:b/>
                <w:sz w:val="18"/>
              </w:rPr>
              <w:t>Date</w:t>
            </w:r>
          </w:p>
        </w:tc>
        <w:tc>
          <w:tcPr>
            <w:tcW w:type="dxa" w:w="4535"/>
            <w:shd w:val="clear" w:color="auto" w:fill="E8E9F5"/>
          </w:tcPr>
          <w:p>
            <w:r/>
            <w:r>
              <w:rPr>
                <w:b/>
                <w:sz w:val="18"/>
              </w:rPr>
              <w:t>Decision</w:t>
            </w:r>
          </w:p>
        </w:tc>
        <w:tc>
          <w:tcPr>
            <w:tcW w:type="dxa" w:w="4082"/>
            <w:shd w:val="clear" w:color="auto" w:fill="E8E9F5"/>
          </w:tcPr>
          <w:p>
            <w:r/>
            <w:r>
              <w:rPr>
                <w:b/>
                <w:sz w:val="18"/>
              </w:rPr>
              <w:t>Why</w:t>
            </w:r>
          </w:p>
        </w:tc>
      </w:tr>
      <w:tr>
        <w:tc>
          <w:tcPr>
            <w:tcW w:type="dxa" w:w="907"/>
          </w:tcPr>
          <w:p>
            <w:r/>
            <w:r>
              <w:rPr>
                <w:sz w:val="18"/>
              </w:rPr>
              <w:t>5/10</w:t>
            </w:r>
          </w:p>
        </w:tc>
        <w:tc>
          <w:tcPr>
            <w:tcW w:type="dxa" w:w="4535"/>
          </w:tcPr>
          <w:p>
            <w:r/>
            <w:r>
              <w:rPr>
                <w:sz w:val="18"/>
              </w:rPr>
              <w:t>Stratified sample: 100 reviews per rating, plus 216 App Store reviews</w:t>
            </w:r>
          </w:p>
        </w:tc>
        <w:tc>
          <w:tcPr>
            <w:tcW w:type="dxa" w:w="4082"/>
          </w:tcPr>
          <w:p>
            <w:r/>
            <w:r>
              <w:rPr>
                <w:sz w:val="18"/>
              </w:rPr>
              <w:t>Avoid reproducing the U-curve in the corpus</w:t>
            </w:r>
          </w:p>
        </w:tc>
      </w:tr>
      <w:tr>
        <w:tc>
          <w:tcPr>
            <w:tcW w:type="dxa" w:w="907"/>
          </w:tcPr>
          <w:p>
            <w:r/>
            <w:r>
              <w:rPr>
                <w:sz w:val="18"/>
              </w:rPr>
              <w:t>5/10</w:t>
            </w:r>
          </w:p>
        </w:tc>
        <w:tc>
          <w:tcPr>
            <w:tcW w:type="dxa" w:w="4535"/>
          </w:tcPr>
          <w:p>
            <w:r/>
            <w:r>
              <w:rPr>
                <w:sz w:val="18"/>
              </w:rPr>
              <w:t>Full reading of the 716 texts before any code</w:t>
            </w:r>
          </w:p>
        </w:tc>
        <w:tc>
          <w:tcPr>
            <w:tcW w:type="dxa" w:w="4082"/>
          </w:tcPr>
          <w:p>
            <w:r/>
            <w:r>
              <w:rPr>
                <w:sz w:val="18"/>
              </w:rPr>
              <w:t>Inductive grid, drawn from the texts, not set in advance</w:t>
            </w:r>
          </w:p>
        </w:tc>
      </w:tr>
      <w:tr>
        <w:tc>
          <w:tcPr>
            <w:tcW w:type="dxa" w:w="907"/>
          </w:tcPr>
          <w:p>
            <w:r/>
            <w:r>
              <w:rPr>
                <w:sz w:val="18"/>
              </w:rPr>
              <w:t>6/10</w:t>
            </w:r>
          </w:p>
        </w:tc>
        <w:tc>
          <w:tcPr>
            <w:tcW w:type="dxa" w:w="4535"/>
          </w:tcPr>
          <w:p>
            <w:r/>
            <w:r>
              <w:rPr>
                <w:sz w:val="18"/>
              </w:rPr>
              <w:t>Split "support silence" and "before and after payment asymmetry"</w:t>
            </w:r>
          </w:p>
        </w:tc>
        <w:tc>
          <w:tcPr>
            <w:tcW w:type="dxa" w:w="4082"/>
          </w:tcPr>
          <w:p>
            <w:r/>
            <w:r>
              <w:rPr>
                <w:sz w:val="18"/>
              </w:rPr>
              <w:t>Silence is a fact; asymmetry is a comparison made by the user</w:t>
            </w:r>
          </w:p>
        </w:tc>
      </w:tr>
      <w:tr>
        <w:tc>
          <w:tcPr>
            <w:tcW w:type="dxa" w:w="907"/>
          </w:tcPr>
          <w:p>
            <w:r/>
            <w:r>
              <w:rPr>
                <w:sz w:val="18"/>
              </w:rPr>
              <w:t>6/10</w:t>
            </w:r>
          </w:p>
        </w:tc>
        <w:tc>
          <w:tcPr>
            <w:tcW w:type="dxa" w:w="4535"/>
          </w:tcPr>
          <w:p>
            <w:r/>
            <w:r>
              <w:rPr>
                <w:sz w:val="18"/>
              </w:rPr>
              <w:t>Keyword coding test: 53% recall</w:t>
            </w:r>
          </w:p>
        </w:tc>
        <w:tc>
          <w:tcPr>
            <w:tcW w:type="dxa" w:w="4082"/>
          </w:tcPr>
          <w:p>
            <w:r/>
            <w:r>
              <w:rPr>
                <w:sz w:val="18"/>
              </w:rPr>
              <w:t>Too low: each text coded by hand</w:t>
            </w:r>
          </w:p>
        </w:tc>
      </w:tr>
      <w:tr>
        <w:tc>
          <w:tcPr>
            <w:tcW w:type="dxa" w:w="907"/>
          </w:tcPr>
          <w:p>
            <w:r/>
            <w:r>
              <w:rPr>
                <w:sz w:val="18"/>
              </w:rPr>
              <w:t>6/10</w:t>
            </w:r>
          </w:p>
        </w:tc>
        <w:tc>
          <w:tcPr>
            <w:tcW w:type="dxa" w:w="4535"/>
          </w:tcPr>
          <w:p>
            <w:r/>
            <w:r>
              <w:rPr>
                <w:sz w:val="18"/>
              </w:rPr>
              <w:t>Added codes "solicited review" and "scam fear"</w:t>
            </w:r>
          </w:p>
        </w:tc>
        <w:tc>
          <w:tcPr>
            <w:tcW w:type="dxa" w:w="4082"/>
          </w:tcPr>
          <w:p>
            <w:r/>
            <w:r>
              <w:rPr>
                <w:sz w:val="18"/>
              </w:rPr>
              <w:t>Emerged during reading (one review was asked to name an agent)</w:t>
            </w:r>
          </w:p>
        </w:tc>
      </w:tr>
      <w:tr>
        <w:tc>
          <w:tcPr>
            <w:tcW w:type="dxa" w:w="907"/>
          </w:tcPr>
          <w:p>
            <w:r/>
            <w:r>
              <w:rPr>
                <w:sz w:val="18"/>
              </w:rPr>
              <w:t>7/10</w:t>
            </w:r>
          </w:p>
        </w:tc>
        <w:tc>
          <w:tcPr>
            <w:tcW w:type="dxa" w:w="4535"/>
          </w:tcPr>
          <w:p>
            <w:r/>
            <w:r>
              <w:rPr>
                <w:sz w:val="18"/>
              </w:rPr>
              <w:t>Brand replies coded as ritual sequences</w:t>
            </w:r>
          </w:p>
        </w:tc>
        <w:tc>
          <w:tcPr>
            <w:tcW w:type="dxa" w:w="4082"/>
          </w:tcPr>
          <w:p>
            <w:r/>
            <w:r>
              <w:rPr>
                <w:sz w:val="18"/>
              </w:rPr>
              <w:t>Goffmanian reading of the public stage</w:t>
            </w:r>
          </w:p>
        </w:tc>
      </w:tr>
    </w:tbl>
    <w:p/>
    <w:p>
      <w:pPr>
        <w:pStyle w:val="Heading1"/>
      </w:pPr>
      <w:r>
        <w:t>4 | Interaction order: the public replies</w:t>
      </w:r>
    </w:p>
    <w:p>
      <w:r>
        <w:rPr>
          <w:b w:val="0"/>
          <w:i w:val="0"/>
        </w:rPr>
        <w:t>Share of the 203 Spotahome replies containing each sequence (1 to 3-star reviews, collected on 7 October 2026).</w:t>
      </w:r>
    </w:p>
    <w:tbl>
      <w:tblPr>
        <w:tblStyle w:val="TableGrid"/>
        <w:tblW w:type="auto" w:w="0"/>
        <w:tblLook w:firstColumn="1" w:firstRow="1" w:lastColumn="0" w:lastRow="0" w:noHBand="0" w:noVBand="1" w:val="04A0"/>
      </w:tblPr>
      <w:tblGrid>
        <w:gridCol w:w="3009"/>
        <w:gridCol w:w="3009"/>
        <w:gridCol w:w="3009"/>
      </w:tblGrid>
      <w:tr>
        <w:tc>
          <w:tcPr>
            <w:tcW w:type="dxa" w:w="3685"/>
            <w:shd w:val="clear" w:color="auto" w:fill="E8E9F5"/>
          </w:tcPr>
          <w:p>
            <w:r/>
            <w:r>
              <w:rPr>
                <w:b/>
                <w:sz w:val="18"/>
              </w:rPr>
              <w:t>Sequence</w:t>
            </w:r>
          </w:p>
        </w:tc>
        <w:tc>
          <w:tcPr>
            <w:tcW w:type="dxa" w:w="1134"/>
            <w:shd w:val="clear" w:color="auto" w:fill="E8E9F5"/>
          </w:tcPr>
          <w:p>
            <w:r/>
            <w:r>
              <w:rPr>
                <w:b/>
                <w:sz w:val="18"/>
              </w:rPr>
              <w:t>Share</w:t>
            </w:r>
          </w:p>
        </w:tc>
        <w:tc>
          <w:tcPr>
            <w:tcW w:type="dxa" w:w="4706"/>
            <w:shd w:val="clear" w:color="auto" w:fill="E8E9F5"/>
          </w:tcPr>
          <w:p>
            <w:r/>
            <w:r>
              <w:rPr>
                <w:b/>
                <w:sz w:val="18"/>
              </w:rPr>
              <w:t>Typical wording</w:t>
            </w:r>
          </w:p>
        </w:tc>
      </w:tr>
      <w:tr>
        <w:tc>
          <w:tcPr>
            <w:tcW w:type="dxa" w:w="3685"/>
          </w:tcPr>
          <w:p>
            <w:r/>
            <w:r>
              <w:rPr>
                <w:sz w:val="18"/>
              </w:rPr>
              <w:t>Ritual regret</w:t>
            </w:r>
          </w:p>
        </w:tc>
        <w:tc>
          <w:tcPr>
            <w:tcW w:type="dxa" w:w="1134"/>
          </w:tcPr>
          <w:p>
            <w:r/>
            <w:r>
              <w:rPr>
                <w:sz w:val="18"/>
              </w:rPr>
              <w:t>78%</w:t>
            </w:r>
          </w:p>
        </w:tc>
        <w:tc>
          <w:tcPr>
            <w:tcW w:type="dxa" w:w="4706"/>
          </w:tcPr>
          <w:p>
            <w:r/>
            <w:r>
              <w:rPr>
                <w:sz w:val="18"/>
              </w:rPr>
              <w:t>« We're sorry to hear about your experience »</w:t>
            </w:r>
          </w:p>
        </w:tc>
      </w:tr>
      <w:tr>
        <w:tc>
          <w:tcPr>
            <w:tcW w:type="dxa" w:w="3685"/>
          </w:tcPr>
          <w:p>
            <w:r/>
            <w:r>
              <w:rPr>
                <w:sz w:val="18"/>
              </w:rPr>
              <w:t>Collective signature</w:t>
            </w:r>
          </w:p>
        </w:tc>
        <w:tc>
          <w:tcPr>
            <w:tcW w:type="dxa" w:w="1134"/>
          </w:tcPr>
          <w:p>
            <w:r/>
            <w:r>
              <w:rPr>
                <w:sz w:val="18"/>
              </w:rPr>
              <w:t>78%</w:t>
            </w:r>
          </w:p>
        </w:tc>
        <w:tc>
          <w:tcPr>
            <w:tcW w:type="dxa" w:w="4706"/>
          </w:tcPr>
          <w:p>
            <w:r/>
            <w:r>
              <w:rPr>
                <w:sz w:val="18"/>
              </w:rPr>
              <w:t>« The Spotahome Team »</w:t>
            </w:r>
          </w:p>
        </w:tc>
      </w:tr>
      <w:tr>
        <w:tc>
          <w:tcPr>
            <w:tcW w:type="dxa" w:w="3685"/>
          </w:tcPr>
          <w:p>
            <w:r/>
            <w:r>
              <w:rPr>
                <w:sz w:val="18"/>
              </w:rPr>
              <w:t>Greeting by first name</w:t>
            </w:r>
          </w:p>
        </w:tc>
        <w:tc>
          <w:tcPr>
            <w:tcW w:type="dxa" w:w="1134"/>
          </w:tcPr>
          <w:p>
            <w:r/>
            <w:r>
              <w:rPr>
                <w:sz w:val="18"/>
              </w:rPr>
              <w:t>72%</w:t>
            </w:r>
          </w:p>
        </w:tc>
        <w:tc>
          <w:tcPr>
            <w:tcW w:type="dxa" w:w="4706"/>
          </w:tcPr>
          <w:p>
            <w:r/>
            <w:r>
              <w:rPr>
                <w:sz w:val="18"/>
              </w:rPr>
              <w:t>"Hello [name],"</w:t>
            </w:r>
          </w:p>
        </w:tc>
      </w:tr>
      <w:tr>
        <w:tc>
          <w:tcPr>
            <w:tcW w:type="dxa" w:w="3685"/>
          </w:tcPr>
          <w:p>
            <w:r/>
            <w:r>
              <w:rPr>
                <w:sz w:val="18"/>
              </w:rPr>
              <w:t>Redirection to a private channel</w:t>
            </w:r>
          </w:p>
        </w:tc>
        <w:tc>
          <w:tcPr>
            <w:tcW w:type="dxa" w:w="1134"/>
          </w:tcPr>
          <w:p>
            <w:r/>
            <w:r>
              <w:rPr>
                <w:sz w:val="18"/>
              </w:rPr>
              <w:t>51%</w:t>
            </w:r>
          </w:p>
        </w:tc>
        <w:tc>
          <w:tcPr>
            <w:tcW w:type="dxa" w:w="4706"/>
          </w:tcPr>
          <w:p>
            <w:r/>
            <w:r>
              <w:rPr>
                <w:sz w:val="18"/>
              </w:rPr>
              <w:t>« will follow up with you directly via email »</w:t>
            </w:r>
          </w:p>
        </w:tc>
      </w:tr>
      <w:tr>
        <w:tc>
          <w:tcPr>
            <w:tcW w:type="dxa" w:w="3685"/>
          </w:tcPr>
          <w:p>
            <w:r/>
            <w:r>
              <w:rPr>
                <w:sz w:val="18"/>
              </w:rPr>
              <w:t>Review announced as "ongoing"</w:t>
            </w:r>
          </w:p>
        </w:tc>
        <w:tc>
          <w:tcPr>
            <w:tcW w:type="dxa" w:w="1134"/>
          </w:tcPr>
          <w:p>
            <w:r/>
            <w:r>
              <w:rPr>
                <w:sz w:val="18"/>
              </w:rPr>
              <w:t>36%</w:t>
            </w:r>
          </w:p>
        </w:tc>
        <w:tc>
          <w:tcPr>
            <w:tcW w:type="dxa" w:w="4706"/>
          </w:tcPr>
          <w:p>
            <w:r/>
            <w:r>
              <w:rPr>
                <w:sz w:val="18"/>
              </w:rPr>
              <w:t>« our team is currently reviewing »</w:t>
            </w:r>
          </w:p>
        </w:tc>
      </w:tr>
      <w:tr>
        <w:tc>
          <w:tcPr>
            <w:tcW w:type="dxa" w:w="3685"/>
          </w:tcPr>
          <w:p>
            <w:r/>
            <w:r>
              <w:rPr>
                <w:sz w:val="18"/>
              </w:rPr>
              <w:t>Thanks for the feedback</w:t>
            </w:r>
          </w:p>
        </w:tc>
        <w:tc>
          <w:tcPr>
            <w:tcW w:type="dxa" w:w="1134"/>
          </w:tcPr>
          <w:p>
            <w:r/>
            <w:r>
              <w:rPr>
                <w:sz w:val="18"/>
              </w:rPr>
              <w:t>34%</w:t>
            </w:r>
          </w:p>
        </w:tc>
        <w:tc>
          <w:tcPr>
            <w:tcW w:type="dxa" w:w="4706"/>
          </w:tcPr>
          <w:p>
            <w:r/>
            <w:r>
              <w:rPr>
                <w:sz w:val="18"/>
              </w:rPr>
              <w:t>« Thank you for sharing »</w:t>
            </w:r>
          </w:p>
        </w:tc>
      </w:tr>
      <w:tr>
        <w:tc>
          <w:tcPr>
            <w:tcW w:type="dxa" w:w="3685"/>
          </w:tcPr>
          <w:p>
            <w:r/>
            <w:r>
              <w:rPr>
                <w:sz w:val="18"/>
              </w:rPr>
              <w:t>Case "not found"</w:t>
            </w:r>
          </w:p>
        </w:tc>
        <w:tc>
          <w:tcPr>
            <w:tcW w:type="dxa" w:w="1134"/>
          </w:tcPr>
          <w:p>
            <w:r/>
            <w:r>
              <w:rPr>
                <w:sz w:val="18"/>
              </w:rPr>
              <w:t>16%</w:t>
            </w:r>
          </w:p>
        </w:tc>
        <w:tc>
          <w:tcPr>
            <w:tcW w:type="dxa" w:w="4706"/>
          </w:tcPr>
          <w:p>
            <w:r/>
            <w:r>
              <w:rPr>
                <w:sz w:val="18"/>
              </w:rPr>
              <w:t>« unable to match this review to a booking »</w:t>
            </w:r>
          </w:p>
        </w:tc>
      </w:tr>
      <w:tr>
        <w:tc>
          <w:tcPr>
            <w:tcW w:type="dxa" w:w="3685"/>
          </w:tcPr>
          <w:p>
            <w:r/>
            <w:r>
              <w:rPr>
                <w:sz w:val="18"/>
              </w:rPr>
              <w:t>Reminder of the rule</w:t>
            </w:r>
          </w:p>
        </w:tc>
        <w:tc>
          <w:tcPr>
            <w:tcW w:type="dxa" w:w="1134"/>
          </w:tcPr>
          <w:p>
            <w:r/>
            <w:r>
              <w:rPr>
                <w:sz w:val="18"/>
              </w:rPr>
              <w:t>13%</w:t>
            </w:r>
          </w:p>
        </w:tc>
        <w:tc>
          <w:tcPr>
            <w:tcW w:type="dxa" w:w="4706"/>
          </w:tcPr>
          <w:p>
            <w:r/>
            <w:r>
              <w:rPr>
                <w:sz w:val="18"/>
              </w:rPr>
              <w:t>« in accordance with the terms »</w:t>
            </w:r>
          </w:p>
        </w:tc>
      </w:tr>
      <w:tr>
        <w:tc>
          <w:tcPr>
            <w:tcW w:type="dxa" w:w="3685"/>
          </w:tcPr>
          <w:p>
            <w:r/>
            <w:r>
              <w:rPr>
                <w:sz w:val="18"/>
              </w:rPr>
              <w:t>Reply identical to another, name aside</w:t>
            </w:r>
          </w:p>
        </w:tc>
        <w:tc>
          <w:tcPr>
            <w:tcW w:type="dxa" w:w="1134"/>
          </w:tcPr>
          <w:p>
            <w:r/>
            <w:r>
              <w:rPr>
                <w:sz w:val="18"/>
              </w:rPr>
              <w:t>12%</w:t>
            </w:r>
          </w:p>
        </w:tc>
        <w:tc>
          <w:tcPr>
            <w:tcW w:type="dxa" w:w="4706"/>
          </w:tcPr>
          <w:p>
            <w:r/>
            <w:r>
              <w:rPr>
                <w:sz w:val="18"/>
              </w:rPr>
              <w:t>(identical text)</w:t>
            </w:r>
          </w:p>
        </w:tc>
      </w:tr>
      <w:tr>
        <w:tc>
          <w:tcPr>
            <w:tcW w:type="dxa" w:w="3685"/>
          </w:tcPr>
          <w:p>
            <w:r/>
            <w:r>
              <w:rPr>
                <w:sz w:val="18"/>
              </w:rPr>
              <w:t>Signed by a named agent</w:t>
            </w:r>
          </w:p>
        </w:tc>
        <w:tc>
          <w:tcPr>
            <w:tcW w:type="dxa" w:w="1134"/>
          </w:tcPr>
          <w:p>
            <w:r/>
            <w:r>
              <w:rPr>
                <w:sz w:val="18"/>
              </w:rPr>
              <w:t>0%</w:t>
            </w:r>
          </w:p>
        </w:tc>
        <w:tc>
          <w:tcPr>
            <w:tcW w:type="dxa" w:w="4706"/>
          </w:tcPr>
          <w:p>
            <w:r/>
            <w:r>
              <w:rPr>
                <w:sz w:val="18"/>
              </w:rPr>
              <w:t>(none)</w:t>
            </w:r>
          </w:p>
        </w:tc>
      </w:tr>
    </w:tbl>
    <w:p/>
    <w:p>
      <w:r>
        <w:rPr>
          <w:b w:val="0"/>
          <w:i w:val="0"/>
        </w:rPr>
        <w:t>Reading: the public stage is held by an anonymous collective that expresses regret and sends things backstage. Meanwhile, positive reviews thank named people. The redesign builds on this contrast: a named, visible contact with a deadline, in the space where the tenant follows their case.</w:t>
      </w:r>
    </w:p>
    <w:p>
      <w:pPr>
        <w:pStyle w:val="Heading1"/>
      </w:pPr>
      <w:r>
        <w:t>5 | What this field can't tell</w:t>
      </w:r>
    </w:p>
    <w:p>
      <w:pPr>
        <w:pStyle w:val="ListBullet"/>
      </w:pPr>
      <w:r>
        <w:t>What those who don't write live through: the silent majority of satisfied or resigned tenants.</w:t>
      </w:r>
    </w:p>
    <w:p>
      <w:pPr>
        <w:pStyle w:val="ListBullet"/>
      </w:pPr>
      <w:r>
        <w:t>The rest of the journey after sign-up, rebuilt rather than observed.</w:t>
      </w:r>
    </w:p>
    <w:p>
      <w:pPr>
        <w:pStyle w:val="ListBullet"/>
      </w:pPr>
      <w:r>
        <w:t>The point of view of Spotahome's agents and landlords, barely present in the corpus (6% of negative reviews are written by landlords).</w:t>
      </w:r>
    </w:p>
    <w:p>
      <w:r>
        <w:rPr>
          <w:b w:val="0"/>
          <w:i w:val="0"/>
        </w:rPr>
        <w:t>Hence the interview guide and the test guide: they are the logical next step of this notebook.</w:t>
      </w:r>
    </w:p>
    <w:sectPr w:rsidR="00FC693F" w:rsidRPr="0006063C" w:rsidSect="00034616">
      <w:headerReference w:type="default" r:id="rId9"/>
      <w:footerReference w:type="default" r:id="rId1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66666"/>
        <w:sz w:val="18"/>
      </w:rPr>
      <w:t>Spotahome: Booking without visiting · Field notebook</w:t>
    </w:r>
  </w:p>
  <w:p>
    <w:r>
      <w:rPr>
        <w:color w:val="666666"/>
        <w:sz w:val="16"/>
      </w:rPr>
      <w:t>Working document. Personal project by Mayare Ouassou, not commissioned by Spotahome.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Calibri" w:hAnsi="Calibri" w:eastAsia="Calibri"/>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80"/>
      <w:outlineLvl w:val="0"/>
    </w:pPr>
    <w:rPr>
      <w:rFonts w:eastAsiaTheme="majorEastAsia" w:ascii="Calibri" w:hAnsi="Calibri" w:cs="Calibri"/>
      <w:b/>
      <w:bCs/>
      <w:i w:val="0"/>
      <w:color w:val="2D4DC4"/>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eastAsiaTheme="majorEastAsia" w:ascii="Calibri" w:hAnsi="Calibri" w:cs="Calibri"/>
      <w:b w:val="0"/>
      <w:bCs/>
      <w:i w:val="0"/>
      <w:color w:val="9B999A"/>
      <w:sz w:val="22"/>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eastAsiaTheme="majorEastAsia" w:ascii="Calibri" w:hAnsi="Calibri" w:cs="Calibri"/>
      <w:b/>
      <w:bCs/>
      <w:i w:val="0"/>
      <w:color w:val="1A1A1A"/>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Calibri" w:hAnsi="Calibri"/>
      <w:sz w:val="20"/>
    </w:rPr>
  </w:style>
  <w:style w:type="paragraph" w:styleId="ListBullet2">
    <w:name w:val="List Bullet 2"/>
    <w:basedOn w:val="Normal"/>
    <w:uiPriority w:val="99"/>
    <w:unhideWhenUsed/>
    <w:rsid w:val="00326F90"/>
    <w:pPr>
      <w:numPr>
        <w:numId w:val="2"/>
      </w:numPr>
      <w:spacing w:after="40"/>
      <w:contextualSpacing/>
    </w:pPr>
    <w:rPr>
      <w:rFonts w:ascii="Calibri" w:hAnsi="Calibri"/>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Calibri" w:hAnsi="Calibri"/>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Mayare Ouassou</dc:creator>
  <cp:keywords/>
  <dc:description>generated by python-docx</dc:description>
  <cp:lastModifiedBy>Mayare Ouassou</cp:lastModifiedBy>
  <cp:revision>1</cp:revision>
  <dcterms:created xsi:type="dcterms:W3CDTF">2013-12-23T23:15:00Z</dcterms:created>
  <dcterms:modified xsi:type="dcterms:W3CDTF">2013-12-23T23:15:00Z</dcterms:modified>
  <cp:category/>
</cp:coreProperties>
</file>